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958E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F2F6DA9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7CF235A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51C641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D379154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EC4F512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0D7D5A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848607E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08BF376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0407BF7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842"/>
        <w:gridCol w:w="1134"/>
        <w:gridCol w:w="1134"/>
        <w:gridCol w:w="1276"/>
        <w:gridCol w:w="1559"/>
        <w:gridCol w:w="2617"/>
      </w:tblGrid>
      <w:tr w:rsidR="00E958E2" w:rsidRPr="00E958E2" w14:paraId="19E0BCC3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34B83547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>VII. Wskaźniki</w:t>
            </w:r>
          </w:p>
        </w:tc>
      </w:tr>
      <w:tr w:rsidR="00E958E2" w:rsidRPr="00E958E2" w14:paraId="34057CCE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DB641C1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 xml:space="preserve">7.1. </w:t>
            </w:r>
            <w:r w:rsidRPr="00E958E2">
              <w:rPr>
                <w:rFonts w:ascii="Arial Narrow" w:hAnsi="Arial Narrow"/>
                <w:b/>
                <w:u w:val="single"/>
              </w:rPr>
              <w:t>Wskaźniki adekwatne do zakresu i celu realizowanego projektu</w:t>
            </w:r>
          </w:p>
        </w:tc>
      </w:tr>
      <w:tr w:rsidR="00E958E2" w:rsidRPr="00E958E2" w14:paraId="5D0E16BB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191AF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produktu</w:t>
            </w:r>
          </w:p>
        </w:tc>
      </w:tr>
      <w:tr w:rsidR="00E958E2" w:rsidRPr="00E958E2" w14:paraId="6567A556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008AE05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6ACC823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2ABEB9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587AF2F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 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7FC82DD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3D93AD2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616A60CD" w14:textId="77777777" w:rsidTr="00E958E2">
        <w:trPr>
          <w:cantSplit/>
          <w:jc w:val="center"/>
        </w:trPr>
        <w:tc>
          <w:tcPr>
            <w:tcW w:w="2405" w:type="dxa"/>
            <w:vMerge/>
          </w:tcPr>
          <w:p w14:paraId="543EB61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14:paraId="04DCBF7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23A9FEA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14:paraId="4B9B8FB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29E4E5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</w:tc>
        <w:tc>
          <w:tcPr>
            <w:tcW w:w="1134" w:type="dxa"/>
          </w:tcPr>
          <w:p w14:paraId="4D3E816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71F868D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1DA36E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B79041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3C9E23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19CB3E0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516488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2E994F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605E3B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AFCA3B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9226A7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85B4B2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115EA43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76CE4FF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3DE478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7EE14065" w14:textId="77777777" w:rsidTr="00E958E2">
        <w:trPr>
          <w:cantSplit/>
          <w:jc w:val="center"/>
        </w:trPr>
        <w:tc>
          <w:tcPr>
            <w:tcW w:w="2405" w:type="dxa"/>
          </w:tcPr>
          <w:p w14:paraId="49108E1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B28A8C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1DED32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5C56326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71D7EFE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41B965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16423A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9B8D4D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72CB5D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60BCC1FF" w14:textId="77777777" w:rsidTr="00E958E2">
        <w:trPr>
          <w:cantSplit/>
          <w:jc w:val="center"/>
        </w:trPr>
        <w:tc>
          <w:tcPr>
            <w:tcW w:w="2405" w:type="dxa"/>
          </w:tcPr>
          <w:p w14:paraId="2270573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ACE511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80A9C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7A269C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3648414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CFDC0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DE0EB6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8B4555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793AD2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5F96E929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46B332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Wskaźniki REZULTATU BEZPOŚREDNIEGO </w:t>
            </w:r>
          </w:p>
        </w:tc>
      </w:tr>
      <w:tr w:rsidR="00E958E2" w:rsidRPr="00E958E2" w14:paraId="115C5A92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3B7BC35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16023E6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F20755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B4283D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51C8A50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1970A45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62762ABE" w14:textId="77777777" w:rsidTr="00E958E2">
        <w:trPr>
          <w:cantSplit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1F0B4DC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14:paraId="0FB3DB1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01E87DE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331FD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7759974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E2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561B729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7606F3F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1D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6ED840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40EE077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F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96FFB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081424B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EF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16FE641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853090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AE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</w:t>
            </w:r>
          </w:p>
          <w:p w14:paraId="3113EB2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 20…</w:t>
            </w:r>
          </w:p>
          <w:p w14:paraId="6431B83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614D998B" w14:textId="77777777" w:rsidTr="00E958E2">
        <w:trPr>
          <w:cantSplit/>
          <w:trHeight w:val="1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9D6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6D653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5D0BEE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439831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A0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6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36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2E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3C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51505AC5" w14:textId="77777777" w:rsidTr="00A367DE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85FC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horyzontalne</w:t>
            </w:r>
          </w:p>
        </w:tc>
      </w:tr>
      <w:tr w:rsidR="00E958E2" w:rsidRPr="00E958E2" w14:paraId="78024924" w14:textId="77777777" w:rsidTr="00E958E2">
        <w:trPr>
          <w:cantSplit/>
          <w:trHeight w:val="10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2B7180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20891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3765E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4D647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–(wartości bazowe)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4651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6720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224D3880" w14:textId="77777777" w:rsidTr="00E958E2">
        <w:trPr>
          <w:cantSplit/>
          <w:trHeight w:val="4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BCE3E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8048F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7C3E7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074418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</w:t>
            </w:r>
          </w:p>
          <w:p w14:paraId="6703A98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15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00F121F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DB0B32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8B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2F4E6C7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EA4920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31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3253FC8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5B0CA6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C4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2490B8A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5F07A3D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25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3764409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1C0FB98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311F751C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2C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Liczba obiektów dostosowanych do potrzeb osób z niepełnosprawnościami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2A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produkt/kluczowy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DF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szt.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5A460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0E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B7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4C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A7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9B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150E3528" w14:textId="77777777" w:rsidTr="00E958E2">
        <w:trPr>
          <w:cantSplit/>
          <w:trHeight w:val="10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91068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8B32F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D38A4C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16A1F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–(wartości bazowe)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1411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C36C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  <w:bookmarkStart w:id="0" w:name="_GoBack"/>
            <w:bookmarkEnd w:id="0"/>
          </w:p>
        </w:tc>
      </w:tr>
      <w:tr w:rsidR="00E958E2" w:rsidRPr="00E958E2" w14:paraId="15F29582" w14:textId="77777777" w:rsidTr="00E958E2">
        <w:trPr>
          <w:cantSplit/>
          <w:trHeight w:val="4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19F03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220A2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D857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626F32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</w:t>
            </w:r>
          </w:p>
          <w:p w14:paraId="2F4A60C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A3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551E079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7C170C9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98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4A4AE20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5CE9F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EB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5FE959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1622EBF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91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0203221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4D4039B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F3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1F637DD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46DFE21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4B936468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2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Liczba utrzymanych miejsc pracy kobiety / mężczyźni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98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rezultat / 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F6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EPC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914613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E9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46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64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75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97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57D03212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A3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Liczba nowo utworzonych miejsc pracy - pozostałe formy kobiety / mężczyźni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56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rezultat / 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2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EPC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D93E30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DD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AF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15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46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4A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152F7152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27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Wzrost zatrudnienia we wspieranych podmiotach (innych niż przedsiębiorstwa)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FFA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rezultat / 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9B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EPC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CB048F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BB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1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B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25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1F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2259CDE0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81B174D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>7.2. Wskaźniki osiągnięć</w:t>
            </w:r>
          </w:p>
        </w:tc>
      </w:tr>
      <w:tr w:rsidR="00E958E2" w:rsidRPr="00E958E2" w14:paraId="12A41236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6A3BC93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produktu</w:t>
            </w:r>
          </w:p>
        </w:tc>
      </w:tr>
      <w:tr w:rsidR="00E958E2" w:rsidRPr="00E958E2" w14:paraId="604F3F72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3B5B6E6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3DA7DFA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rodzaj wskaźnika 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C3CE3C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76FA89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  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047DCA2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68C1726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015EB4DF" w14:textId="77777777" w:rsidTr="00E958E2">
        <w:trPr>
          <w:cantSplit/>
          <w:jc w:val="center"/>
        </w:trPr>
        <w:tc>
          <w:tcPr>
            <w:tcW w:w="2405" w:type="dxa"/>
            <w:vMerge/>
          </w:tcPr>
          <w:p w14:paraId="5B41EAA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14:paraId="0AD4EF2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25E6774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14:paraId="157A40F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</w:tc>
        <w:tc>
          <w:tcPr>
            <w:tcW w:w="1134" w:type="dxa"/>
          </w:tcPr>
          <w:p w14:paraId="0E1B5F0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B1A8AA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44712F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5AEB0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9BC796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2E89F96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E31927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ECE072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50F618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0C1E4C3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05866DF6" w14:textId="77777777" w:rsidTr="00E958E2">
        <w:trPr>
          <w:cantSplit/>
          <w:jc w:val="center"/>
        </w:trPr>
        <w:tc>
          <w:tcPr>
            <w:tcW w:w="2405" w:type="dxa"/>
          </w:tcPr>
          <w:p w14:paraId="294D8F2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F79913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5C53D0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4AC39E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4DA2CD5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9ABD10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F7DE3C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B9785E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6EF9F05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0CEE467E" w14:textId="77777777" w:rsidTr="00E958E2">
        <w:trPr>
          <w:cantSplit/>
          <w:jc w:val="center"/>
        </w:trPr>
        <w:tc>
          <w:tcPr>
            <w:tcW w:w="2405" w:type="dxa"/>
          </w:tcPr>
          <w:p w14:paraId="113531F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0C9872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E538BA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3621A2B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436C3BE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A428BD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5FCAF0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D337D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1711477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7150B5D5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C13091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rezultatu BEZPOŚREDNIEGO</w:t>
            </w:r>
          </w:p>
        </w:tc>
      </w:tr>
      <w:tr w:rsidR="00E958E2" w:rsidRPr="00E958E2" w14:paraId="46B216D0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405C9D9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3C16BBB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F2D349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447C3D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 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203135C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1AE7B90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55DD9383" w14:textId="77777777" w:rsidTr="00E958E2">
        <w:trPr>
          <w:cantSplit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3921F82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3A2B7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3DA3382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9ADC63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57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76F8B6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62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017EB6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A8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64A256A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E2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253A60A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D6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032FA51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0B1AF86B" w14:textId="77777777" w:rsidTr="00E958E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70E3D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E21C2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E5FDF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F0C881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6B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41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E4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EF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36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6160EFE2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B8D21A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 xml:space="preserve">7.3.Sposób monitorowania i częstotliwość pomiaru wskaźników z pkt. 7.1-7.2 </w:t>
            </w:r>
          </w:p>
        </w:tc>
      </w:tr>
      <w:tr w:rsidR="00E958E2" w:rsidRPr="00E958E2" w14:paraId="42188341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30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4278E" w:rsidRPr="004549FB" w14:paraId="47FC310E" w14:textId="77777777" w:rsidTr="0054278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lastRenderedPageBreak/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4278E" w:rsidRPr="004549FB" w14:paraId="6ED7E24A" w14:textId="77777777" w:rsidTr="0054278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78E" w:rsidRPr="004549FB" w14:paraId="38A759EB" w14:textId="77777777" w:rsidTr="0054278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4278E" w:rsidRPr="00F71FF2" w14:paraId="67D9D7AF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0EB09539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492100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4278E" w:rsidRPr="00F71FF2" w14:paraId="2E0858B6" w14:textId="77777777" w:rsidTr="0054278E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7EFA11A6" w14:textId="77777777" w:rsidTr="0054278E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492100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492100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C020A3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4278E" w:rsidRPr="00F71FF2" w14:paraId="2FA14EB0" w14:textId="77777777" w:rsidTr="0054278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54278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D0A5040" w:rsidR="00BE2357" w:rsidRPr="003903A2" w:rsidRDefault="00527EB9" w:rsidP="00527EB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C020A3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492100" w:rsidRPr="00F71FF2" w14:paraId="38EF51EC" w14:textId="77777777" w:rsidTr="00492100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2100" w:rsidRPr="00F71FF2" w14:paraId="1A8CD07E" w14:textId="77777777" w:rsidTr="00492100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63F09323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842C5B3" w14:textId="7D9E0BC0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A70D3E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7B3B34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3DDD9868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F69ED6" w14:textId="3B05E308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338479D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120440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6AE1C89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052396" w14:textId="2401D263" w:rsidR="004B0A90" w:rsidRPr="00BE4919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2D32FCF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81EA66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4C40811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CFBAB95" w14:textId="65D406AF" w:rsidR="004B0A90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DF2258D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D979BCA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44696A17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B92995" w14:textId="4721C241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467D2CAB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B277968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958E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lastRenderedPageBreak/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958E2">
              <w:rPr>
                <w:rFonts w:ascii="Arial Narrow" w:hAnsi="Arial Narrow" w:cs="Arial"/>
                <w:sz w:val="22"/>
                <w:szCs w:val="22"/>
              </w:rPr>
            </w:r>
            <w:r w:rsidR="00E958E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565E2D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565E2D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08635322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6578E4E4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2D57FF7" w14:textId="2F25FDB4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14C30D7D" w:rsidR="006040EE" w:rsidRPr="00492100" w:rsidRDefault="00A74F0A" w:rsidP="00492100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4E460B77" w14:textId="47A2063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5B14DFCD" w:rsidR="006040EE" w:rsidRPr="0054278E" w:rsidRDefault="00A74F0A" w:rsidP="00492100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="006040EE"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74D1A795" w14:textId="33816D44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54278E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54278E">
        <w:rPr>
          <w:rFonts w:ascii="Arial Narrow" w:hAnsi="Arial Narrow"/>
        </w:rPr>
        <w:t>p</w:t>
      </w:r>
      <w:r w:rsidR="00D01BB1" w:rsidRPr="0054278E">
        <w:rPr>
          <w:rFonts w:ascii="Arial Narrow" w:hAnsi="Arial Narrow"/>
        </w:rPr>
        <w:t>oz.</w:t>
      </w:r>
      <w:r w:rsidR="00FD09B6" w:rsidRPr="0054278E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2A16EC87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4C7CB203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6C5F50E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5356FD5D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4B42CC79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CAB292E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D57A0C7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15BFCEAF" w:rsidR="006040EE" w:rsidRDefault="00FA43D1" w:rsidP="00492100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9FF0614" w:rsidR="008F7441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Studium </w:t>
      </w:r>
      <w:r w:rsidRPr="00844B0C">
        <w:rPr>
          <w:rFonts w:ascii="Arial Narrow" w:hAnsi="Arial Narrow"/>
        </w:rPr>
        <w:t>wykonalności</w:t>
      </w:r>
      <w:r w:rsidR="001A2D2A" w:rsidRPr="00844B0C">
        <w:rPr>
          <w:rFonts w:ascii="Arial Narrow" w:hAnsi="Arial Narrow"/>
        </w:rPr>
        <w:t>,</w:t>
      </w:r>
    </w:p>
    <w:p w14:paraId="58CB6D7A" w14:textId="00386116" w:rsidR="008F7441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Mapy, szkice lokalizacyjne sytuujące projekt,</w:t>
      </w:r>
    </w:p>
    <w:p w14:paraId="0F33C607" w14:textId="6931EBEA" w:rsidR="0063201B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Wyciąg z dokumentacji </w:t>
      </w:r>
      <w:r w:rsidRPr="00844B0C">
        <w:rPr>
          <w:rFonts w:ascii="Arial Narrow" w:hAnsi="Arial Narrow"/>
        </w:rPr>
        <w:t>technicznej (projekt i opis techniczny)/program funkcjonalno-użytkowy,</w:t>
      </w:r>
    </w:p>
    <w:p w14:paraId="5040B2D0" w14:textId="24FE9797" w:rsidR="00D41A0D" w:rsidRPr="00844B0C" w:rsidRDefault="008F7441" w:rsidP="00C020A3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o zabezpieczeniu środków niezbę</w:t>
      </w:r>
      <w:r w:rsidR="00BD50FB" w:rsidRPr="00844B0C">
        <w:rPr>
          <w:rFonts w:ascii="Arial Narrow" w:hAnsi="Arial Narrow"/>
        </w:rPr>
        <w:t xml:space="preserve">dnych do realizowania projektu. </w:t>
      </w:r>
      <w:r w:rsidR="00665C9E" w:rsidRPr="00844B0C">
        <w:rPr>
          <w:rFonts w:ascii="Arial Narrow" w:hAnsi="Arial Narrow"/>
        </w:rPr>
        <w:t>(</w:t>
      </w:r>
      <w:r w:rsidR="00D41A0D" w:rsidRPr="00844B0C">
        <w:rPr>
          <w:rFonts w:ascii="Arial Narrow" w:hAnsi="Arial Narrow"/>
        </w:rPr>
        <w:t xml:space="preserve">W przypadku realizacji projektów partnerskich, każdy z </w:t>
      </w:r>
      <w:r w:rsidR="00BD50FB" w:rsidRPr="00844B0C">
        <w:rPr>
          <w:rFonts w:ascii="Arial Narrow" w:hAnsi="Arial Narrow"/>
        </w:rPr>
        <w:t xml:space="preserve">partnerów </w:t>
      </w:r>
      <w:r w:rsidR="00D41A0D" w:rsidRPr="00844B0C">
        <w:rPr>
          <w:rFonts w:ascii="Arial Narrow" w:hAnsi="Arial Narrow"/>
        </w:rPr>
        <w:t xml:space="preserve">przedkłada </w:t>
      </w:r>
      <w:r w:rsidR="002208DE" w:rsidRPr="00844B0C">
        <w:rPr>
          <w:rFonts w:ascii="Arial Narrow" w:hAnsi="Arial Narrow"/>
        </w:rPr>
        <w:t>p</w:t>
      </w:r>
      <w:r w:rsidR="00964C7C" w:rsidRPr="00844B0C">
        <w:rPr>
          <w:rFonts w:ascii="Arial Narrow" w:hAnsi="Arial Narrow"/>
        </w:rPr>
        <w:t>rzedmiotowe</w:t>
      </w:r>
      <w:r w:rsidR="00D41A0D" w:rsidRPr="00844B0C">
        <w:rPr>
          <w:rFonts w:ascii="Arial Narrow" w:hAnsi="Arial Narrow"/>
        </w:rPr>
        <w:t xml:space="preserve"> oświadczenie</w:t>
      </w:r>
      <w:r w:rsidR="00665C9E" w:rsidRPr="00844B0C">
        <w:rPr>
          <w:rFonts w:ascii="Arial Narrow" w:hAnsi="Arial Narrow"/>
        </w:rPr>
        <w:t>)</w:t>
      </w:r>
      <w:r w:rsidR="00A43020" w:rsidRPr="00844B0C">
        <w:rPr>
          <w:rFonts w:ascii="Arial Narrow" w:hAnsi="Arial Narrow"/>
        </w:rPr>
        <w:t>,</w:t>
      </w:r>
    </w:p>
    <w:p w14:paraId="5D18BF36" w14:textId="1FA6D5DF" w:rsidR="008F7441" w:rsidRPr="00844B0C" w:rsidRDefault="008F7441" w:rsidP="00C020A3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844B0C">
        <w:rPr>
          <w:rFonts w:ascii="Arial Narrow" w:hAnsi="Arial Narrow"/>
        </w:rPr>
        <w:t xml:space="preserve"> z dnia 11 lipca 2014 r. </w:t>
      </w:r>
      <w:r w:rsidRPr="00844B0C">
        <w:rPr>
          <w:rFonts w:ascii="Arial Narrow" w:hAnsi="Arial Narrow"/>
        </w:rPr>
        <w:br/>
        <w:t>o zasadach realizacji programów w zakresie polityki spójności finansowanych w perspektywie finansowej 2014-2020</w:t>
      </w:r>
      <w:r w:rsidR="00A43020" w:rsidRPr="00844B0C">
        <w:rPr>
          <w:rFonts w:ascii="Arial Narrow" w:hAnsi="Arial Narrow"/>
        </w:rPr>
        <w:t>,</w:t>
      </w:r>
    </w:p>
    <w:p w14:paraId="196C58CE" w14:textId="7A80CFE4" w:rsidR="00D41A0D" w:rsidRPr="00844B0C" w:rsidRDefault="001338C9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C020A3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844B0C">
        <w:rPr>
          <w:rFonts w:ascii="Arial Narrow" w:hAnsi="Arial Narrow"/>
          <w:spacing w:val="-2"/>
        </w:rPr>
        <w:t>,</w:t>
      </w:r>
    </w:p>
    <w:p w14:paraId="4EFF75B8" w14:textId="5591E54F" w:rsidR="008161B3" w:rsidRPr="00CF4F39" w:rsidRDefault="00161A37" w:rsidP="00C020A3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7C9242B0" w:rsidR="008161B3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Wnioskodawcy o zachowaniu celów projektu</w:t>
      </w:r>
      <w:r w:rsidRPr="00844B0C">
        <w:rPr>
          <w:rFonts w:ascii="Arial Narrow" w:hAnsi="Arial Narrow"/>
        </w:rPr>
        <w:t xml:space="preserve"> zgodnych z wnioskiem o dofinansowanie projektu</w:t>
      </w:r>
      <w:r w:rsidR="00644E6A" w:rsidRPr="00844B0C">
        <w:rPr>
          <w:rFonts w:ascii="Arial Narrow" w:hAnsi="Arial Narrow"/>
        </w:rPr>
        <w:t xml:space="preserve"> (</w:t>
      </w:r>
      <w:r w:rsidR="008161B3" w:rsidRPr="00844B0C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844B0C">
        <w:rPr>
          <w:rFonts w:ascii="Arial Narrow" w:hAnsi="Arial Narrow"/>
          <w:spacing w:val="-2"/>
        </w:rPr>
        <w:t>przedmiotowe</w:t>
      </w:r>
      <w:r w:rsidR="00A43020" w:rsidRPr="00844B0C">
        <w:rPr>
          <w:rFonts w:ascii="Arial Narrow" w:hAnsi="Arial Narrow"/>
          <w:spacing w:val="-2"/>
        </w:rPr>
        <w:t xml:space="preserve"> oświadczenie</w:t>
      </w:r>
      <w:r w:rsidR="00644E6A" w:rsidRPr="00844B0C">
        <w:rPr>
          <w:rFonts w:ascii="Arial Narrow" w:hAnsi="Arial Narrow"/>
          <w:spacing w:val="-2"/>
        </w:rPr>
        <w:t>)</w:t>
      </w:r>
      <w:r w:rsidR="00A43020" w:rsidRPr="00844B0C">
        <w:rPr>
          <w:rFonts w:ascii="Arial Narrow" w:hAnsi="Arial Narrow"/>
          <w:spacing w:val="-2"/>
        </w:rPr>
        <w:t>,</w:t>
      </w:r>
    </w:p>
    <w:p w14:paraId="66A3A3C9" w14:textId="056C4701" w:rsidR="008F7441" w:rsidRPr="00844B0C" w:rsidRDefault="00125285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Dokument określający status prawny Wnioskodawcy/partnera, tj. dokument rejestrowy wraz z </w:t>
      </w:r>
      <w:r w:rsidRPr="00844B0C">
        <w:rPr>
          <w:rFonts w:ascii="Arial Narrow" w:hAnsi="Arial Narrow"/>
        </w:rPr>
        <w:t>dokumentem wskazującym na umocowanie do działania w imieniu i na rzecz Wnioskodawcy/partnera</w:t>
      </w:r>
      <w:r w:rsidR="00A43020" w:rsidRPr="00844B0C">
        <w:rPr>
          <w:rFonts w:ascii="Arial Narrow" w:hAnsi="Arial Narrow"/>
        </w:rPr>
        <w:t>,</w:t>
      </w:r>
    </w:p>
    <w:p w14:paraId="2ECF30D6" w14:textId="3EF89BA7" w:rsidR="00D41A0D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Wnioskodawcy o prawie</w:t>
      </w:r>
      <w:r w:rsidR="00F146C7" w:rsidRPr="00844B0C">
        <w:rPr>
          <w:rFonts w:ascii="Arial Narrow" w:hAnsi="Arial Narrow"/>
        </w:rPr>
        <w:t xml:space="preserve"> do</w:t>
      </w:r>
      <w:r w:rsidRPr="00844B0C">
        <w:rPr>
          <w:rFonts w:ascii="Arial Narrow" w:hAnsi="Arial Narrow"/>
        </w:rPr>
        <w:t xml:space="preserve"> dysponowania n</w:t>
      </w:r>
      <w:r w:rsidR="009755F2" w:rsidRPr="00844B0C">
        <w:rPr>
          <w:rFonts w:ascii="Arial Narrow" w:hAnsi="Arial Narrow"/>
        </w:rPr>
        <w:t>ieruchomością na cele budowlane</w:t>
      </w:r>
      <w:r w:rsidR="00644E6A" w:rsidRPr="00844B0C">
        <w:rPr>
          <w:rFonts w:ascii="Arial Narrow" w:hAnsi="Arial Narrow"/>
        </w:rPr>
        <w:t xml:space="preserve"> (</w:t>
      </w:r>
      <w:r w:rsidR="00D41A0D" w:rsidRPr="00844B0C">
        <w:rPr>
          <w:rFonts w:ascii="Arial Narrow" w:hAnsi="Arial Narrow"/>
        </w:rPr>
        <w:t xml:space="preserve">W przypadku realizacji projektów partnerskich, każdy </w:t>
      </w:r>
      <w:r w:rsidR="00A21208" w:rsidRPr="00844B0C">
        <w:rPr>
          <w:rFonts w:ascii="Arial Narrow" w:hAnsi="Arial Narrow"/>
        </w:rPr>
        <w:t xml:space="preserve">z partnerów przedkłada </w:t>
      </w:r>
      <w:r w:rsidR="00964C7C" w:rsidRPr="00844B0C">
        <w:rPr>
          <w:rFonts w:ascii="Arial Narrow" w:hAnsi="Arial Narrow"/>
          <w:spacing w:val="-2"/>
        </w:rPr>
        <w:t>przedmiotowy</w:t>
      </w:r>
      <w:r w:rsidR="002208DE" w:rsidRPr="00844B0C">
        <w:rPr>
          <w:rFonts w:ascii="Arial Narrow" w:hAnsi="Arial Narrow"/>
        </w:rPr>
        <w:t xml:space="preserve"> </w:t>
      </w:r>
      <w:r w:rsidR="00D41A0D" w:rsidRPr="00844B0C">
        <w:rPr>
          <w:rFonts w:ascii="Arial Narrow" w:hAnsi="Arial Narrow"/>
        </w:rPr>
        <w:t>załącznik</w:t>
      </w:r>
      <w:r w:rsidR="00644E6A" w:rsidRPr="00844B0C">
        <w:rPr>
          <w:rFonts w:ascii="Arial Narrow" w:hAnsi="Arial Narrow"/>
        </w:rPr>
        <w:t>)</w:t>
      </w:r>
      <w:r w:rsidR="00A21208" w:rsidRPr="00844B0C">
        <w:rPr>
          <w:rFonts w:ascii="Arial Narrow" w:hAnsi="Arial Narrow"/>
        </w:rPr>
        <w:t>,</w:t>
      </w:r>
    </w:p>
    <w:p w14:paraId="5D913AE9" w14:textId="5FF3903E" w:rsidR="008F5C40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Dokumentacja dotycząca oceny oddziaływania przedsięwzięcia na środowisko oraz na obszar Natura 2000</w:t>
      </w:r>
      <w:r w:rsidRPr="00844B0C">
        <w:rPr>
          <w:rFonts w:ascii="Arial Narrow" w:hAnsi="Arial Narrow"/>
        </w:rPr>
        <w:t>,</w:t>
      </w:r>
    </w:p>
    <w:p w14:paraId="278DED30" w14:textId="77777777" w:rsidR="002D24C4" w:rsidRPr="00844B0C" w:rsidRDefault="002D24C4" w:rsidP="00C020A3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7DF69196" w:rsidR="008F7441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Opis promocji</w:t>
      </w:r>
      <w:r w:rsidRPr="00844B0C">
        <w:rPr>
          <w:rFonts w:ascii="Arial Narrow" w:hAnsi="Arial Narrow"/>
        </w:rPr>
        <w:t xml:space="preserve"> projektu,</w:t>
      </w:r>
    </w:p>
    <w:p w14:paraId="1366D51B" w14:textId="438B85C2" w:rsidR="008F7441" w:rsidRPr="00844B0C" w:rsidRDefault="0095617B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Informacje dotyczące sytuacji ekonomicznej przedsiębiorcy, któremu ma być udzielone dofinansowanie</w:t>
      </w:r>
      <w:r w:rsidR="00A21208" w:rsidRPr="00844B0C">
        <w:rPr>
          <w:rFonts w:ascii="Arial Narrow" w:hAnsi="Arial Narrow"/>
        </w:rPr>
        <w:t xml:space="preserve"> (W przypadku realizacji projektów partnerskich, każdy z partnerów przedkłada </w:t>
      </w:r>
      <w:r w:rsidR="00964C7C" w:rsidRPr="00844B0C">
        <w:rPr>
          <w:rFonts w:ascii="Arial Narrow" w:hAnsi="Arial Narrow"/>
          <w:spacing w:val="-2"/>
        </w:rPr>
        <w:t>przedmiotowy</w:t>
      </w:r>
      <w:r w:rsidR="00A21208" w:rsidRPr="00844B0C">
        <w:rPr>
          <w:rFonts w:ascii="Arial Narrow" w:hAnsi="Arial Narrow"/>
        </w:rPr>
        <w:t xml:space="preserve"> załącznik),</w:t>
      </w:r>
    </w:p>
    <w:p w14:paraId="6B0A3975" w14:textId="4FF50A0B" w:rsidR="00A21208" w:rsidRPr="00844B0C" w:rsidRDefault="0095617B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o wielkości przedsiębiorcy</w:t>
      </w:r>
      <w:r w:rsidR="00A21208" w:rsidRPr="00844B0C">
        <w:rPr>
          <w:rFonts w:ascii="Arial Narrow" w:hAnsi="Arial Narrow"/>
        </w:rPr>
        <w:t xml:space="preserve"> (W przypadku realizacji projektów partnerskich, każdy z partnerów przedkłada </w:t>
      </w:r>
      <w:r w:rsidR="00964C7C" w:rsidRPr="00844B0C">
        <w:rPr>
          <w:rFonts w:ascii="Arial Narrow" w:hAnsi="Arial Narrow"/>
          <w:spacing w:val="-2"/>
        </w:rPr>
        <w:t>przedmiotowy</w:t>
      </w:r>
      <w:r w:rsidR="00A21208" w:rsidRPr="00844B0C">
        <w:rPr>
          <w:rFonts w:ascii="Arial Narrow" w:hAnsi="Arial Narrow"/>
        </w:rPr>
        <w:t xml:space="preserve"> załącznik),</w:t>
      </w:r>
    </w:p>
    <w:p w14:paraId="024B36BE" w14:textId="09054253" w:rsidR="0057419E" w:rsidRPr="00844B0C" w:rsidRDefault="00FE201E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Formularz</w:t>
      </w:r>
      <w:r w:rsidRPr="00844B0C">
        <w:rPr>
          <w:rFonts w:ascii="Arial Narrow" w:hAnsi="Arial Narrow"/>
        </w:rPr>
        <w:t xml:space="preserve"> dotyczący</w:t>
      </w:r>
      <w:r w:rsidR="002648D4" w:rsidRPr="00844B0C">
        <w:rPr>
          <w:rFonts w:ascii="Arial Narrow" w:hAnsi="Arial Narrow"/>
        </w:rPr>
        <w:t xml:space="preserve"> występowania pomocy publicznej (W przypadku realizacji projektów partnerskich, każdy z partnerów przedkłada</w:t>
      </w:r>
      <w:r w:rsidR="00964C7C" w:rsidRPr="00844B0C">
        <w:rPr>
          <w:rFonts w:ascii="Arial Narrow" w:hAnsi="Arial Narrow"/>
        </w:rPr>
        <w:t xml:space="preserve"> </w:t>
      </w:r>
      <w:r w:rsidR="00964C7C" w:rsidRPr="00844B0C">
        <w:rPr>
          <w:rFonts w:ascii="Arial Narrow" w:hAnsi="Arial Narrow"/>
          <w:spacing w:val="-2"/>
        </w:rPr>
        <w:t>przedmiotowy</w:t>
      </w:r>
      <w:r w:rsidR="002648D4" w:rsidRPr="00844B0C">
        <w:rPr>
          <w:rFonts w:ascii="Arial Narrow" w:hAnsi="Arial Narrow"/>
        </w:rPr>
        <w:t xml:space="preserve"> załącznik.)</w:t>
      </w:r>
      <w:r w:rsidR="00A43020" w:rsidRPr="00844B0C">
        <w:rPr>
          <w:rFonts w:ascii="Arial Narrow" w:hAnsi="Arial Narrow"/>
        </w:rPr>
        <w:t>,</w:t>
      </w:r>
    </w:p>
    <w:p w14:paraId="2BDDA010" w14:textId="6B6C82CD" w:rsidR="002A0C44" w:rsidRPr="00844B0C" w:rsidRDefault="0095617B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Inne dokumenty wymagane prawem polskim lub kategorią projektu</w:t>
      </w:r>
      <w:r w:rsidR="00A43020" w:rsidRPr="00844B0C">
        <w:rPr>
          <w:rFonts w:ascii="Arial Narrow" w:hAnsi="Arial Narrow"/>
        </w:rPr>
        <w:t>,</w:t>
      </w:r>
    </w:p>
    <w:p w14:paraId="61D49109" w14:textId="5D962F42" w:rsidR="008374BF" w:rsidRPr="00C020A3" w:rsidRDefault="00655E19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Prog</w:t>
      </w:r>
      <w:r w:rsidRPr="00C020A3">
        <w:rPr>
          <w:rFonts w:ascii="Arial Narrow" w:hAnsi="Arial Narrow"/>
          <w:sz w:val="23"/>
        </w:rPr>
        <w:t>ram rewitalizacji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2404432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234E38" w:rsidRPr="00234E38">
        <w:rPr>
          <w:rFonts w:ascii="Arial Narrow" w:hAnsi="Arial Narrow"/>
          <w:sz w:val="22"/>
          <w:szCs w:val="22"/>
        </w:rPr>
        <w:t>z 2018 r., poz. 1474</w:t>
      </w:r>
      <w:r w:rsidR="00900048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E23C" w14:textId="77777777" w:rsidR="00844B0C" w:rsidRDefault="00844B0C">
      <w:r>
        <w:separator/>
      </w:r>
    </w:p>
  </w:endnote>
  <w:endnote w:type="continuationSeparator" w:id="0">
    <w:p w14:paraId="2BA8F978" w14:textId="77777777" w:rsidR="00844B0C" w:rsidRDefault="00844B0C">
      <w:r>
        <w:continuationSeparator/>
      </w:r>
    </w:p>
  </w:endnote>
  <w:endnote w:type="continuationNotice" w:id="1">
    <w:p w14:paraId="5339667E" w14:textId="77777777" w:rsidR="00844B0C" w:rsidRDefault="00844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D994940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958E2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2253" w14:textId="77777777" w:rsidR="00844B0C" w:rsidRDefault="00844B0C">
      <w:r>
        <w:separator/>
      </w:r>
    </w:p>
  </w:footnote>
  <w:footnote w:type="continuationSeparator" w:id="0">
    <w:p w14:paraId="6EC8E834" w14:textId="77777777" w:rsidR="00844B0C" w:rsidRDefault="00844B0C">
      <w:r>
        <w:continuationSeparator/>
      </w:r>
    </w:p>
  </w:footnote>
  <w:footnote w:type="continuationNotice" w:id="1">
    <w:p w14:paraId="6CD7E7B5" w14:textId="77777777" w:rsidR="00844B0C" w:rsidRDefault="00844B0C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12"/>
  </w:num>
  <w:num w:numId="35">
    <w:abstractNumId w:val="39"/>
  </w:num>
  <w:num w:numId="36">
    <w:abstractNumId w:val="40"/>
  </w:num>
  <w:num w:numId="37">
    <w:abstractNumId w:val="11"/>
  </w:num>
  <w:num w:numId="38">
    <w:abstractNumId w:val="41"/>
  </w:num>
  <w:num w:numId="39">
    <w:abstractNumId w:val="46"/>
  </w:num>
  <w:num w:numId="40">
    <w:abstractNumId w:val="37"/>
  </w:num>
  <w:num w:numId="41">
    <w:abstractNumId w:val="17"/>
  </w:num>
  <w:num w:numId="42">
    <w:abstractNumId w:val="28"/>
  </w:num>
  <w:num w:numId="43">
    <w:abstractNumId w:val="35"/>
  </w:num>
  <w:num w:numId="44">
    <w:abstractNumId w:val="1"/>
  </w:num>
  <w:num w:numId="45">
    <w:abstractNumId w:val="48"/>
  </w:num>
  <w:num w:numId="46">
    <w:abstractNumId w:val="27"/>
  </w:num>
  <w:num w:numId="47">
    <w:abstractNumId w:val="26"/>
  </w:num>
  <w:num w:numId="48">
    <w:abstractNumId w:val="22"/>
  </w:num>
  <w:num w:numId="49">
    <w:abstractNumId w:val="24"/>
  </w:num>
  <w:num w:numId="50">
    <w:abstractNumId w:val="45"/>
  </w:num>
  <w:num w:numId="51">
    <w:abstractNumId w:val="5"/>
  </w:num>
  <w:num w:numId="52">
    <w:abstractNumId w:val="34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4E38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25742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0D60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2100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0A90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27EB9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278E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B0C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5F9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0A3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32B1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58E2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4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693-1360-4593-89F2-55F6D3A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20</Pages>
  <Words>3645</Words>
  <Characters>26129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3</cp:revision>
  <cp:lastPrinted>2017-12-05T14:48:00Z</cp:lastPrinted>
  <dcterms:created xsi:type="dcterms:W3CDTF">2017-12-05T14:32:00Z</dcterms:created>
  <dcterms:modified xsi:type="dcterms:W3CDTF">2020-01-24T08:54:00Z</dcterms:modified>
</cp:coreProperties>
</file>